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tblPrEx>
          <w:tblCellMar>
            <w:top w:w="0" w:type="dxa"/>
            <w:left w:w="108" w:type="dxa"/>
            <w:bottom w:w="0" w:type="dxa"/>
            <w:right w:w="108" w:type="dxa"/>
          </w:tblCellMar>
        </w:tblPrEx>
        <w:trPr>
          <w:trHeight w:val="1701" w:hRule="atLeast"/>
          <w:jc w:val="center"/>
        </w:trPr>
        <w:tc>
          <w:tcPr>
            <w:tcW w:w="8177" w:type="dxa"/>
            <w:vAlign w:val="center"/>
          </w:tcPr>
          <w:p>
            <w:pPr>
              <w:spacing w:line="360" w:lineRule="auto"/>
              <w:jc w:val="center"/>
              <w:rPr>
                <w:rFonts w:eastAsia="黑体"/>
                <w:spacing w:val="20"/>
                <w:sz w:val="32"/>
                <w:szCs w:val="32"/>
              </w:rPr>
            </w:pPr>
            <w:r>
              <w:rPr>
                <w:rFonts w:hint="eastAsia" w:eastAsia="黑体"/>
                <w:spacing w:val="20"/>
                <w:sz w:val="32"/>
              </w:rPr>
              <w:t>中国核学会团体</w:t>
            </w:r>
            <w:r>
              <w:rPr>
                <w:rFonts w:eastAsia="黑体"/>
                <w:spacing w:val="20"/>
                <w:sz w:val="32"/>
              </w:rPr>
              <w:t>标准</w:t>
            </w:r>
          </w:p>
        </w:tc>
      </w:tr>
      <w:tr>
        <w:tblPrEx>
          <w:tblCellMar>
            <w:top w:w="0" w:type="dxa"/>
            <w:left w:w="108" w:type="dxa"/>
            <w:bottom w:w="0" w:type="dxa"/>
            <w:right w:w="108" w:type="dxa"/>
          </w:tblCellMar>
        </w:tblPrEx>
        <w:trPr>
          <w:trHeight w:val="4535" w:hRule="atLeast"/>
          <w:jc w:val="center"/>
        </w:trPr>
        <w:tc>
          <w:tcPr>
            <w:tcW w:w="8177" w:type="dxa"/>
            <w:vAlign w:val="center"/>
          </w:tcPr>
          <w:p>
            <w:pPr>
              <w:spacing w:line="720" w:lineRule="auto"/>
              <w:jc w:val="center"/>
              <w:rPr>
                <w:rFonts w:eastAsia="黑体" w:cs="黑体"/>
                <w:spacing w:val="20"/>
                <w:sz w:val="44"/>
                <w:szCs w:val="44"/>
              </w:rPr>
            </w:pPr>
            <w:r>
              <w:rPr>
                <w:rFonts w:hint="eastAsia" w:eastAsia="黑体" w:cs="黑体"/>
                <w:spacing w:val="20"/>
                <w:sz w:val="44"/>
                <w:szCs w:val="44"/>
              </w:rPr>
              <w:t>压水堆核能供汽性能试验导则</w:t>
            </w:r>
          </w:p>
          <w:p>
            <w:pPr>
              <w:spacing w:line="720" w:lineRule="auto"/>
              <w:jc w:val="center"/>
              <w:rPr>
                <w:rFonts w:eastAsia="黑体"/>
                <w:spacing w:val="20"/>
                <w:sz w:val="44"/>
                <w:szCs w:val="44"/>
              </w:rPr>
            </w:pPr>
            <w:r>
              <w:rPr>
                <w:rFonts w:hint="eastAsia" w:eastAsia="黑体" w:cs="黑体"/>
                <w:spacing w:val="20"/>
                <w:sz w:val="44"/>
                <w:szCs w:val="44"/>
              </w:rPr>
              <w:t>（征求意见稿）</w:t>
            </w:r>
          </w:p>
        </w:tc>
      </w:tr>
      <w:tr>
        <w:tblPrEx>
          <w:tblCellMar>
            <w:top w:w="0" w:type="dxa"/>
            <w:left w:w="108" w:type="dxa"/>
            <w:bottom w:w="0" w:type="dxa"/>
            <w:right w:w="108" w:type="dxa"/>
          </w:tblCellMar>
        </w:tblPrEx>
        <w:trPr>
          <w:trHeight w:val="4535" w:hRule="atLeast"/>
          <w:jc w:val="center"/>
        </w:trPr>
        <w:tc>
          <w:tcPr>
            <w:tcW w:w="8177" w:type="dxa"/>
            <w:vAlign w:val="center"/>
          </w:tcPr>
          <w:p>
            <w:pPr>
              <w:spacing w:line="360" w:lineRule="auto"/>
              <w:jc w:val="center"/>
              <w:rPr>
                <w:rFonts w:eastAsia="黑体"/>
                <w:spacing w:val="20"/>
                <w:sz w:val="44"/>
                <w:szCs w:val="44"/>
              </w:rPr>
            </w:pPr>
            <w:r>
              <w:rPr>
                <w:rFonts w:hint="eastAsia" w:eastAsia="黑体"/>
                <w:spacing w:val="20"/>
                <w:sz w:val="44"/>
                <w:szCs w:val="32"/>
              </w:rPr>
              <w:t>编制说明</w:t>
            </w:r>
          </w:p>
        </w:tc>
      </w:tr>
      <w:tr>
        <w:tblPrEx>
          <w:tblCellMar>
            <w:top w:w="0" w:type="dxa"/>
            <w:left w:w="108" w:type="dxa"/>
            <w:bottom w:w="0" w:type="dxa"/>
            <w:right w:w="108" w:type="dxa"/>
          </w:tblCellMar>
        </w:tblPrEx>
        <w:trPr>
          <w:trHeight w:val="2835" w:hRule="atLeast"/>
          <w:jc w:val="center"/>
        </w:trPr>
        <w:tc>
          <w:tcPr>
            <w:tcW w:w="8177" w:type="dxa"/>
            <w:vAlign w:val="center"/>
          </w:tcPr>
          <w:p>
            <w:pPr>
              <w:spacing w:line="360" w:lineRule="auto"/>
              <w:jc w:val="center"/>
              <w:rPr>
                <w:rFonts w:eastAsia="黑体"/>
                <w:spacing w:val="20"/>
                <w:sz w:val="32"/>
              </w:rPr>
            </w:pPr>
            <w:r>
              <w:rPr>
                <w:rFonts w:hint="eastAsia" w:eastAsia="黑体"/>
                <w:spacing w:val="20"/>
                <w:sz w:val="32"/>
              </w:rPr>
              <w:t>标准起草工作组</w:t>
            </w:r>
          </w:p>
          <w:p>
            <w:pPr>
              <w:spacing w:line="360" w:lineRule="auto"/>
              <w:jc w:val="center"/>
              <w:rPr>
                <w:rFonts w:eastAsia="黑体"/>
                <w:sz w:val="28"/>
                <w:szCs w:val="28"/>
              </w:rPr>
            </w:pPr>
            <w:r>
              <w:rPr>
                <w:rFonts w:eastAsia="黑体"/>
                <w:spacing w:val="20"/>
                <w:sz w:val="32"/>
              </w:rPr>
              <w:t>2025</w:t>
            </w:r>
            <w:r>
              <w:rPr>
                <w:rFonts w:hint="eastAsia" w:eastAsia="黑体"/>
                <w:spacing w:val="20"/>
                <w:sz w:val="32"/>
              </w:rPr>
              <w:t>年</w:t>
            </w:r>
            <w:r>
              <w:rPr>
                <w:rFonts w:hint="eastAsia" w:eastAsia="黑体"/>
                <w:spacing w:val="20"/>
                <w:sz w:val="32"/>
                <w:lang w:val="en-US" w:eastAsia="zh-CN"/>
              </w:rPr>
              <w:t>4</w:t>
            </w:r>
            <w:r>
              <w:rPr>
                <w:rFonts w:hint="eastAsia" w:eastAsia="黑体"/>
                <w:spacing w:val="20"/>
                <w:sz w:val="32"/>
              </w:rPr>
              <w:t>月</w:t>
            </w:r>
          </w:p>
        </w:tc>
      </w:tr>
    </w:tbl>
    <w:p>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pPr>
        <w:snapToGrid w:val="0"/>
        <w:jc w:val="center"/>
        <w:rPr>
          <w:rFonts w:ascii="黑体" w:eastAsia="黑体"/>
          <w:spacing w:val="20"/>
          <w:sz w:val="30"/>
          <w:szCs w:val="30"/>
        </w:rPr>
      </w:pPr>
    </w:p>
    <w:p>
      <w:pPr>
        <w:snapToGrid w:val="0"/>
        <w:jc w:val="center"/>
        <w:rPr>
          <w:rFonts w:ascii="黑体" w:eastAsia="黑体"/>
          <w:sz w:val="32"/>
          <w:szCs w:val="32"/>
        </w:rPr>
      </w:pPr>
      <w:r>
        <w:rPr>
          <w:rFonts w:hint="eastAsia" w:ascii="黑体" w:eastAsia="黑体"/>
          <w:spacing w:val="20"/>
          <w:sz w:val="32"/>
          <w:szCs w:val="30"/>
        </w:rPr>
        <w:t>压水堆核能供汽性能试验导则</w:t>
      </w:r>
    </w:p>
    <w:p>
      <w:pPr>
        <w:numPr>
          <w:ilvl w:val="0"/>
          <w:numId w:val="1"/>
        </w:numPr>
        <w:spacing w:before="240" w:after="240" w:line="360" w:lineRule="auto"/>
        <w:rPr>
          <w:rFonts w:eastAsia="黑体"/>
          <w:sz w:val="28"/>
          <w:szCs w:val="28"/>
        </w:rPr>
      </w:pPr>
      <w:r>
        <w:rPr>
          <w:rFonts w:hint="eastAsia" w:eastAsia="黑体"/>
          <w:sz w:val="28"/>
          <w:szCs w:val="28"/>
        </w:rPr>
        <w:t>工作简况</w:t>
      </w:r>
    </w:p>
    <w:p>
      <w:pPr>
        <w:pStyle w:val="20"/>
        <w:numPr>
          <w:ilvl w:val="0"/>
          <w:numId w:val="2"/>
        </w:numPr>
        <w:spacing w:before="240" w:after="240" w:line="360" w:lineRule="auto"/>
        <w:ind w:firstLineChars="0"/>
        <w:rPr>
          <w:rFonts w:ascii="黑体" w:hAnsi="黑体" w:eastAsia="黑体"/>
          <w:kern w:val="0"/>
          <w:sz w:val="24"/>
        </w:rPr>
      </w:pPr>
      <w:r>
        <w:rPr>
          <w:rFonts w:hint="eastAsia" w:ascii="黑体" w:hAnsi="黑体" w:eastAsia="黑体"/>
          <w:kern w:val="0"/>
          <w:sz w:val="24"/>
        </w:rPr>
        <w:t>任务</w:t>
      </w:r>
      <w:r>
        <w:rPr>
          <w:rFonts w:ascii="黑体" w:hAnsi="黑体" w:eastAsia="黑体"/>
          <w:kern w:val="0"/>
          <w:sz w:val="24"/>
        </w:rPr>
        <w:t>来源</w:t>
      </w:r>
    </w:p>
    <w:p>
      <w:pPr>
        <w:spacing w:line="360" w:lineRule="auto"/>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lang w:val="zh-CN"/>
        </w:rPr>
        <w:t>本标准制修订任务由</w:t>
      </w:r>
      <w:r>
        <w:rPr>
          <w:rFonts w:hint="eastAsia" w:ascii="宋体" w:hAnsi="宋体"/>
          <w:color w:val="000000"/>
          <w:kern w:val="0"/>
          <w:sz w:val="24"/>
          <w:highlight w:val="none"/>
        </w:rPr>
        <w:t>中国核学会文件《关于下达中国核学会</w:t>
      </w:r>
      <w:r>
        <w:rPr>
          <w:rFonts w:hint="eastAsia" w:ascii="宋体" w:hAnsi="宋体"/>
          <w:color w:val="000000"/>
          <w:kern w:val="0"/>
          <w:sz w:val="24"/>
          <w:highlight w:val="none"/>
          <w:lang w:val="en-US" w:eastAsia="zh-CN"/>
        </w:rPr>
        <w:t>2024</w:t>
      </w:r>
      <w:r>
        <w:rPr>
          <w:rFonts w:hint="eastAsia" w:ascii="宋体" w:hAnsi="宋体"/>
          <w:color w:val="000000"/>
          <w:kern w:val="0"/>
          <w:sz w:val="24"/>
          <w:highlight w:val="none"/>
        </w:rPr>
        <w:t>年度第</w:t>
      </w:r>
      <w:r>
        <w:rPr>
          <w:rFonts w:hint="eastAsia" w:ascii="宋体" w:hAnsi="宋体"/>
          <w:color w:val="000000"/>
          <w:kern w:val="0"/>
          <w:sz w:val="24"/>
          <w:highlight w:val="none"/>
          <w:lang w:val="en-US" w:eastAsia="zh-CN"/>
        </w:rPr>
        <w:t>一</w:t>
      </w:r>
      <w:r>
        <w:rPr>
          <w:rFonts w:hint="eastAsia" w:ascii="宋体" w:hAnsi="宋体"/>
          <w:color w:val="000000"/>
          <w:kern w:val="0"/>
          <w:sz w:val="24"/>
          <w:highlight w:val="none"/>
        </w:rPr>
        <w:t>批团体标准制（修）订计划的通知》（中核学发〔20</w:t>
      </w:r>
      <w:r>
        <w:rPr>
          <w:rFonts w:hint="eastAsia" w:ascii="宋体" w:hAnsi="宋体"/>
          <w:color w:val="000000"/>
          <w:kern w:val="0"/>
          <w:sz w:val="24"/>
          <w:highlight w:val="none"/>
          <w:lang w:val="en-US" w:eastAsia="zh-CN"/>
        </w:rPr>
        <w:t>24</w:t>
      </w:r>
      <w:r>
        <w:rPr>
          <w:rFonts w:hint="eastAsia" w:ascii="宋体" w:hAnsi="宋体"/>
          <w:color w:val="000000"/>
          <w:kern w:val="0"/>
          <w:sz w:val="24"/>
          <w:highlight w:val="none"/>
        </w:rPr>
        <w:t>〕</w:t>
      </w:r>
      <w:r>
        <w:rPr>
          <w:rFonts w:hint="eastAsia" w:ascii="宋体" w:hAnsi="宋体"/>
          <w:color w:val="000000"/>
          <w:kern w:val="0"/>
          <w:sz w:val="24"/>
          <w:highlight w:val="none"/>
          <w:lang w:val="en-US" w:eastAsia="zh-CN"/>
        </w:rPr>
        <w:t>65</w:t>
      </w:r>
      <w:r>
        <w:rPr>
          <w:rFonts w:hint="eastAsia" w:ascii="宋体" w:hAnsi="宋体"/>
          <w:color w:val="000000"/>
          <w:kern w:val="0"/>
          <w:sz w:val="24"/>
          <w:highlight w:val="none"/>
        </w:rPr>
        <w:t>号）下达，计划编号为</w:t>
      </w:r>
      <w:r>
        <w:rPr>
          <w:rFonts w:hint="eastAsia" w:ascii="宋体" w:hAnsi="宋体"/>
          <w:color w:val="000000"/>
          <w:kern w:val="0"/>
          <w:sz w:val="24"/>
          <w:highlight w:val="none"/>
          <w:lang w:val="en-US" w:eastAsia="zh-CN"/>
        </w:rPr>
        <w:t>HTB2024013</w:t>
      </w:r>
      <w:r>
        <w:rPr>
          <w:rFonts w:hint="eastAsia" w:ascii="宋体" w:hAnsi="宋体"/>
          <w:color w:val="000000"/>
          <w:kern w:val="0"/>
          <w:sz w:val="24"/>
          <w:highlight w:val="none"/>
        </w:rPr>
        <w:t>，标准计划名称为《压水堆核能供汽性能试验导则》，要求于20</w:t>
      </w:r>
      <w:r>
        <w:rPr>
          <w:rFonts w:hint="eastAsia" w:ascii="宋体" w:hAnsi="宋体"/>
          <w:color w:val="000000"/>
          <w:kern w:val="0"/>
          <w:sz w:val="24"/>
          <w:highlight w:val="none"/>
          <w:lang w:val="en-US" w:eastAsia="zh-CN"/>
        </w:rPr>
        <w:t>25</w:t>
      </w:r>
      <w:r>
        <w:rPr>
          <w:rFonts w:hint="eastAsia" w:ascii="宋体" w:hAnsi="宋体"/>
          <w:color w:val="000000"/>
          <w:kern w:val="0"/>
          <w:sz w:val="24"/>
          <w:highlight w:val="none"/>
        </w:rPr>
        <w:t>年</w:t>
      </w:r>
      <w:r>
        <w:rPr>
          <w:rFonts w:hint="eastAsia" w:ascii="宋体" w:hAnsi="宋体"/>
          <w:color w:val="000000"/>
          <w:kern w:val="0"/>
          <w:sz w:val="24"/>
          <w:highlight w:val="none"/>
          <w:lang w:val="en-US" w:eastAsia="zh-CN"/>
        </w:rPr>
        <w:t>12</w:t>
      </w:r>
      <w:r>
        <w:rPr>
          <w:rFonts w:hint="eastAsia" w:ascii="宋体" w:hAnsi="宋体"/>
          <w:color w:val="000000"/>
          <w:kern w:val="0"/>
          <w:sz w:val="24"/>
          <w:highlight w:val="none"/>
        </w:rPr>
        <w:t>月</w:t>
      </w:r>
      <w:r>
        <w:rPr>
          <w:rFonts w:hint="eastAsia" w:ascii="宋体" w:hAnsi="宋体"/>
          <w:color w:val="000000"/>
          <w:kern w:val="0"/>
          <w:sz w:val="24"/>
          <w:highlight w:val="none"/>
          <w:lang w:val="en-US" w:eastAsia="zh-CN"/>
        </w:rPr>
        <w:t>前</w:t>
      </w:r>
      <w:r>
        <w:rPr>
          <w:rFonts w:hint="eastAsia" w:ascii="宋体" w:hAnsi="宋体"/>
          <w:color w:val="000000"/>
          <w:kern w:val="0"/>
          <w:sz w:val="24"/>
          <w:highlight w:val="none"/>
        </w:rPr>
        <w:t>完成本项目。</w:t>
      </w:r>
    </w:p>
    <w:p>
      <w:pPr>
        <w:pStyle w:val="20"/>
        <w:numPr>
          <w:ilvl w:val="0"/>
          <w:numId w:val="2"/>
        </w:numPr>
        <w:spacing w:before="240" w:after="240" w:line="360" w:lineRule="auto"/>
        <w:ind w:firstLineChars="0"/>
        <w:rPr>
          <w:rFonts w:eastAsia="黑体"/>
          <w:sz w:val="28"/>
          <w:szCs w:val="28"/>
        </w:rPr>
      </w:pPr>
      <w:r>
        <w:rPr>
          <w:rFonts w:hint="eastAsia" w:ascii="黑体" w:hAnsi="黑体" w:eastAsia="黑体"/>
          <w:kern w:val="0"/>
          <w:sz w:val="24"/>
        </w:rPr>
        <w:t>起草</w:t>
      </w:r>
      <w:r>
        <w:rPr>
          <w:rFonts w:ascii="黑体" w:hAnsi="黑体" w:eastAsia="黑体"/>
          <w:kern w:val="0"/>
          <w:sz w:val="24"/>
        </w:rPr>
        <w:t>单位情况</w:t>
      </w:r>
    </w:p>
    <w:p>
      <w:pPr>
        <w:pStyle w:val="26"/>
        <w:spacing w:after="0" w:line="360" w:lineRule="auto"/>
        <w:ind w:firstLine="480" w:firstLineChars="200"/>
        <w:jc w:val="both"/>
        <w:rPr>
          <w:rFonts w:hint="eastAsia" w:ascii="宋体" w:hAnsi="宋体"/>
          <w:color w:val="000000"/>
          <w:kern w:val="0"/>
          <w:sz w:val="24"/>
          <w:highlight w:val="none"/>
          <w:lang w:val="en-US" w:eastAsia="zh-CN"/>
        </w:rPr>
      </w:pPr>
      <w:r>
        <w:rPr>
          <w:rFonts w:hint="eastAsia"/>
        </w:rPr>
        <w:t>本文件起草单位：中国核电工程有限公司、江苏核电有限公司。</w:t>
      </w:r>
    </w:p>
    <w:p>
      <w:pPr>
        <w:pStyle w:val="20"/>
        <w:numPr>
          <w:ilvl w:val="0"/>
          <w:numId w:val="2"/>
        </w:numPr>
        <w:spacing w:before="240" w:after="240" w:line="360" w:lineRule="auto"/>
        <w:ind w:firstLineChars="0"/>
        <w:rPr>
          <w:rFonts w:ascii="黑体" w:hAnsi="黑体" w:eastAsia="黑体"/>
          <w:kern w:val="0"/>
          <w:sz w:val="24"/>
        </w:rPr>
      </w:pPr>
      <w:r>
        <w:rPr>
          <w:rFonts w:hint="eastAsia" w:ascii="黑体" w:hAnsi="黑体" w:eastAsia="黑体"/>
          <w:kern w:val="0"/>
          <w:sz w:val="24"/>
        </w:rPr>
        <w:t>起草工作组组成及任务分工</w:t>
      </w:r>
    </w:p>
    <w:p>
      <w:pPr>
        <w:pStyle w:val="20"/>
        <w:numPr>
          <w:ilvl w:val="0"/>
          <w:numId w:val="2"/>
        </w:numPr>
        <w:spacing w:before="240" w:after="240" w:line="360" w:lineRule="auto"/>
        <w:ind w:firstLineChars="0"/>
        <w:rPr>
          <w:rFonts w:eastAsia="黑体"/>
          <w:sz w:val="28"/>
          <w:szCs w:val="28"/>
        </w:rPr>
      </w:pPr>
      <w:r>
        <w:rPr>
          <w:rFonts w:hint="eastAsia" w:ascii="黑体" w:hAnsi="黑体" w:eastAsia="黑体"/>
          <w:kern w:val="0"/>
          <w:sz w:val="24"/>
        </w:rPr>
        <w:t>主要</w:t>
      </w:r>
      <w:r>
        <w:rPr>
          <w:rFonts w:ascii="黑体" w:hAnsi="黑体" w:eastAsia="黑体"/>
          <w:kern w:val="0"/>
          <w:sz w:val="24"/>
        </w:rPr>
        <w:t>工作过程</w:t>
      </w:r>
    </w:p>
    <w:p>
      <w:pPr>
        <w:pStyle w:val="26"/>
        <w:spacing w:after="0" w:line="360" w:lineRule="auto"/>
        <w:ind w:firstLine="480" w:firstLineChars="200"/>
        <w:jc w:val="both"/>
      </w:pPr>
      <w:r>
        <w:rPr>
          <w:rFonts w:hint="eastAsia"/>
        </w:rPr>
        <w:t>本标准的起草过程主要分为前期准备、征求意见稿编制、送审稿编制、报批稿编制阶段。</w:t>
      </w:r>
    </w:p>
    <w:p>
      <w:pPr>
        <w:spacing w:before="240" w:line="360" w:lineRule="auto"/>
        <w:rPr>
          <w:rFonts w:ascii="黑体" w:hAnsi="黑体" w:eastAsia="黑体"/>
          <w:kern w:val="0"/>
          <w:sz w:val="24"/>
        </w:rPr>
      </w:pPr>
      <w:r>
        <w:rPr>
          <w:rFonts w:hint="eastAsia" w:ascii="黑体" w:hAnsi="黑体" w:eastAsia="黑体"/>
          <w:kern w:val="0"/>
          <w:sz w:val="24"/>
        </w:rPr>
        <w:t>4.1 前期准备（20</w:t>
      </w:r>
      <w:r>
        <w:rPr>
          <w:rFonts w:hint="eastAsia" w:ascii="黑体" w:hAnsi="黑体" w:eastAsia="黑体"/>
          <w:kern w:val="0"/>
          <w:sz w:val="24"/>
          <w:lang w:val="en-US" w:eastAsia="zh-CN"/>
        </w:rPr>
        <w:t>23</w:t>
      </w:r>
      <w:r>
        <w:rPr>
          <w:rFonts w:hint="eastAsia" w:ascii="黑体" w:hAnsi="黑体" w:eastAsia="黑体"/>
          <w:kern w:val="0"/>
          <w:sz w:val="24"/>
        </w:rPr>
        <w:t>年</w:t>
      </w:r>
      <w:r>
        <w:rPr>
          <w:rFonts w:hint="eastAsia" w:ascii="黑体" w:hAnsi="黑体" w:eastAsia="黑体"/>
          <w:kern w:val="0"/>
          <w:sz w:val="24"/>
          <w:lang w:val="en-US" w:eastAsia="zh-CN"/>
        </w:rPr>
        <w:t>6</w:t>
      </w:r>
      <w:r>
        <w:rPr>
          <w:rFonts w:hint="eastAsia" w:ascii="黑体" w:hAnsi="黑体" w:eastAsia="黑体"/>
          <w:kern w:val="0"/>
          <w:sz w:val="24"/>
        </w:rPr>
        <w:t>月-20</w:t>
      </w:r>
      <w:r>
        <w:rPr>
          <w:rFonts w:hint="eastAsia" w:ascii="黑体" w:hAnsi="黑体" w:eastAsia="黑体"/>
          <w:kern w:val="0"/>
          <w:sz w:val="24"/>
          <w:lang w:val="en-US" w:eastAsia="zh-CN"/>
        </w:rPr>
        <w:t>24</w:t>
      </w:r>
      <w:r>
        <w:rPr>
          <w:rFonts w:hint="eastAsia" w:ascii="黑体" w:hAnsi="黑体" w:eastAsia="黑体"/>
          <w:kern w:val="0"/>
          <w:sz w:val="24"/>
        </w:rPr>
        <w:t>年</w:t>
      </w:r>
      <w:r>
        <w:rPr>
          <w:rFonts w:hint="eastAsia" w:ascii="黑体" w:hAnsi="黑体" w:eastAsia="黑体"/>
          <w:kern w:val="0"/>
          <w:sz w:val="24"/>
          <w:lang w:val="en-US" w:eastAsia="zh-CN"/>
        </w:rPr>
        <w:t>4</w:t>
      </w:r>
      <w:r>
        <w:rPr>
          <w:rFonts w:hint="eastAsia" w:ascii="黑体" w:hAnsi="黑体" w:eastAsia="黑体"/>
          <w:kern w:val="0"/>
          <w:sz w:val="24"/>
        </w:rPr>
        <w:t>月）</w:t>
      </w:r>
    </w:p>
    <w:p>
      <w:pPr>
        <w:spacing w:line="360" w:lineRule="auto"/>
        <w:ind w:firstLine="480" w:firstLineChars="200"/>
        <w:rPr>
          <w:rFonts w:hint="default" w:eastAsiaTheme="minorEastAsia"/>
          <w:sz w:val="24"/>
          <w:lang w:val="en-US" w:eastAsia="zh-CN"/>
        </w:rPr>
      </w:pPr>
      <w:r>
        <w:rPr>
          <w:rFonts w:hint="eastAsia"/>
          <w:sz w:val="24"/>
          <w:lang w:val="en-US" w:eastAsia="zh-CN"/>
        </w:rPr>
        <w:t>2023年6月2日全国核能标准化技术委员会发文批准包含“核能综合利用标准体系研究”等20个项目组平行开展标准化专项研究，江苏核电作为“核能综合利用标准体系研究”项目牵头单位之一，按要求编制了《核能供热标准体系专项研究项目组研究实施方案（江苏核电）》，确定在2024年12月31日之前完成本标准草案的编制，根据该方案，开始初期调研及资料收集。</w:t>
      </w:r>
    </w:p>
    <w:p>
      <w:pPr>
        <w:spacing w:line="360" w:lineRule="auto"/>
        <w:ind w:firstLine="480" w:firstLineChars="200"/>
        <w:rPr>
          <w:rFonts w:hint="eastAsia"/>
          <w:sz w:val="24"/>
          <w:lang w:val="en-US" w:eastAsia="zh-CN"/>
        </w:rPr>
      </w:pPr>
      <w:r>
        <w:rPr>
          <w:rFonts w:hint="eastAsia"/>
          <w:sz w:val="24"/>
        </w:rPr>
        <w:t>20</w:t>
      </w:r>
      <w:r>
        <w:rPr>
          <w:rFonts w:hint="eastAsia"/>
          <w:sz w:val="24"/>
          <w:lang w:val="en-US" w:eastAsia="zh-CN"/>
        </w:rPr>
        <w:t>23</w:t>
      </w:r>
      <w:r>
        <w:rPr>
          <w:rFonts w:hint="eastAsia"/>
          <w:sz w:val="24"/>
        </w:rPr>
        <w:t>年</w:t>
      </w:r>
      <w:r>
        <w:rPr>
          <w:rFonts w:hint="eastAsia"/>
          <w:sz w:val="24"/>
          <w:lang w:val="en-US" w:eastAsia="zh-CN"/>
        </w:rPr>
        <w:t>11</w:t>
      </w:r>
      <w:r>
        <w:rPr>
          <w:rFonts w:hint="eastAsia"/>
          <w:sz w:val="24"/>
        </w:rPr>
        <w:t>月</w:t>
      </w:r>
      <w:r>
        <w:rPr>
          <w:rFonts w:hint="eastAsia"/>
          <w:sz w:val="24"/>
          <w:lang w:val="en-US" w:eastAsia="zh-CN"/>
        </w:rPr>
        <w:t>29</w:t>
      </w:r>
      <w:r>
        <w:rPr>
          <w:rFonts w:hint="eastAsia"/>
          <w:sz w:val="24"/>
        </w:rPr>
        <w:t>日，</w:t>
      </w:r>
      <w:r>
        <w:rPr>
          <w:rFonts w:hint="eastAsia"/>
          <w:sz w:val="24"/>
          <w:lang w:val="en-US" w:eastAsia="zh-CN"/>
        </w:rPr>
        <w:t>核能供热标准体系专项研究会议在北京紫玉饭店召开，会议由江苏核电有限公司主办、中核战略规划研究总院核工业标准化研究所承办，全国核能专业标准化技术委员会反应堆技术分技术委员会委员长王长东参会指导，中国核电工程有限公司、中核能源科技有限公司和中核苏能核电有限公司参与核能供热标准体系专项研究项目组相关人员参会，参会各单位确认了核能供热标准体系团体标准（包含本标准）编制范围和分工，初步确定2023年12月30日前提交本标准团标申请。根据此次会议确定的分工，成立编制组，正式启动标准编制工作。</w:t>
      </w:r>
    </w:p>
    <w:p>
      <w:pPr>
        <w:spacing w:line="360" w:lineRule="auto"/>
        <w:ind w:firstLine="480" w:firstLineChars="200"/>
        <w:rPr>
          <w:rFonts w:hint="default"/>
          <w:sz w:val="24"/>
          <w:lang w:val="en-US" w:eastAsia="zh-CN"/>
        </w:rPr>
      </w:pPr>
      <w:r>
        <w:rPr>
          <w:rFonts w:hint="default"/>
          <w:sz w:val="24"/>
          <w:lang w:val="en-US" w:eastAsia="zh-CN"/>
        </w:rPr>
        <w:t>2024年1月</w:t>
      </w:r>
      <w:r>
        <w:rPr>
          <w:rFonts w:hint="eastAsia"/>
          <w:sz w:val="24"/>
          <w:lang w:val="en-US" w:eastAsia="zh-CN"/>
        </w:rPr>
        <w:t>25日</w:t>
      </w:r>
      <w:r>
        <w:rPr>
          <w:rFonts w:hint="default"/>
          <w:sz w:val="24"/>
          <w:lang w:val="en-US" w:eastAsia="zh-CN"/>
        </w:rPr>
        <w:t>，中国核学会组织召开“核能供热首批团标立项评审会暨核能供热标准体系在核学会备案会议”，江苏核电有限公司、核工业标准化研究所、中核能源科技有限公司、中国核电工程有限公司相关代表参会。会议听取了江苏核电关于国标委研究项目“核能供热标准体系专项研究”的汇报，为加快核能供热标准供给，与会各方一致认为有必要系统化推进核学会核能供热团体标准建设。核学会同意当前核能供热标准体系专项研究列举系列标准列入核学会团标制修订规划，后续可以根据实际工程进度分批次开展核学会团体标准立项申报及制修订工作。</w:t>
      </w:r>
    </w:p>
    <w:p>
      <w:pPr>
        <w:spacing w:line="360" w:lineRule="auto"/>
        <w:ind w:firstLine="480" w:firstLineChars="200"/>
        <w:rPr>
          <w:rFonts w:hint="default"/>
          <w:sz w:val="24"/>
          <w:lang w:val="en-US" w:eastAsia="zh-CN"/>
        </w:rPr>
      </w:pPr>
      <w:r>
        <w:rPr>
          <w:rFonts w:hint="eastAsia"/>
          <w:sz w:val="24"/>
          <w:lang w:val="en-US" w:eastAsia="zh-CN"/>
        </w:rPr>
        <w:t>2024年4月10日，由中国核学会文件《关于下达中国核学会2024年度第一批团体标准制（修）订计划的通知》（中核学发〔2024〕65号）下达本标准制修订任务，</w:t>
      </w:r>
      <w:r>
        <w:rPr>
          <w:rFonts w:hint="eastAsia" w:ascii="宋体" w:hAnsi="宋体"/>
          <w:color w:val="000000"/>
          <w:kern w:val="0"/>
          <w:sz w:val="24"/>
          <w:highlight w:val="none"/>
        </w:rPr>
        <w:t>计划编号为</w:t>
      </w:r>
      <w:r>
        <w:rPr>
          <w:rFonts w:hint="eastAsia" w:ascii="宋体" w:hAnsi="宋体"/>
          <w:color w:val="000000"/>
          <w:kern w:val="0"/>
          <w:sz w:val="24"/>
          <w:highlight w:val="none"/>
          <w:lang w:val="en-US" w:eastAsia="zh-CN"/>
        </w:rPr>
        <w:t>HTB2024013</w:t>
      </w:r>
      <w:r>
        <w:rPr>
          <w:rFonts w:hint="eastAsia" w:ascii="宋体" w:hAnsi="宋体"/>
          <w:color w:val="000000"/>
          <w:kern w:val="0"/>
          <w:sz w:val="24"/>
          <w:highlight w:val="none"/>
        </w:rPr>
        <w:t>，标准计划名称为《压水堆核能供汽性能试验导则》</w:t>
      </w:r>
      <w:r>
        <w:rPr>
          <w:rFonts w:hint="eastAsia"/>
          <w:sz w:val="24"/>
          <w:lang w:val="en-US" w:eastAsia="zh-CN"/>
        </w:rPr>
        <w:t>。</w:t>
      </w:r>
    </w:p>
    <w:p>
      <w:pPr>
        <w:spacing w:before="240" w:line="360" w:lineRule="auto"/>
        <w:rPr>
          <w:rFonts w:ascii="黑体" w:hAnsi="黑体" w:eastAsia="黑体"/>
          <w:kern w:val="0"/>
          <w:sz w:val="24"/>
        </w:rPr>
      </w:pPr>
      <w:r>
        <w:rPr>
          <w:rFonts w:hint="eastAsia" w:ascii="黑体" w:hAnsi="黑体" w:eastAsia="黑体"/>
          <w:kern w:val="0"/>
          <w:sz w:val="24"/>
        </w:rPr>
        <w:t>4.2 征求意见稿编制（20</w:t>
      </w:r>
      <w:r>
        <w:rPr>
          <w:rFonts w:hint="eastAsia" w:ascii="黑体" w:hAnsi="黑体" w:eastAsia="黑体"/>
          <w:kern w:val="0"/>
          <w:sz w:val="24"/>
          <w:lang w:val="en-US" w:eastAsia="zh-CN"/>
        </w:rPr>
        <w:t>24</w:t>
      </w:r>
      <w:r>
        <w:rPr>
          <w:rFonts w:hint="eastAsia" w:ascii="黑体" w:hAnsi="黑体" w:eastAsia="黑体"/>
          <w:kern w:val="0"/>
          <w:sz w:val="24"/>
        </w:rPr>
        <w:t>年</w:t>
      </w:r>
      <w:r>
        <w:rPr>
          <w:rFonts w:hint="eastAsia" w:ascii="黑体" w:hAnsi="黑体" w:eastAsia="黑体"/>
          <w:kern w:val="0"/>
          <w:sz w:val="24"/>
          <w:lang w:val="en-US" w:eastAsia="zh-CN"/>
        </w:rPr>
        <w:t>4</w:t>
      </w:r>
      <w:r>
        <w:rPr>
          <w:rFonts w:hint="eastAsia" w:ascii="黑体" w:hAnsi="黑体" w:eastAsia="黑体"/>
          <w:kern w:val="0"/>
          <w:sz w:val="24"/>
        </w:rPr>
        <w:t>月-20</w:t>
      </w:r>
      <w:r>
        <w:rPr>
          <w:rFonts w:hint="eastAsia" w:ascii="黑体" w:hAnsi="黑体" w:eastAsia="黑体"/>
          <w:kern w:val="0"/>
          <w:sz w:val="24"/>
          <w:lang w:val="en-US" w:eastAsia="zh-CN"/>
        </w:rPr>
        <w:t>25</w:t>
      </w:r>
      <w:r>
        <w:rPr>
          <w:rFonts w:hint="eastAsia" w:ascii="黑体" w:hAnsi="黑体" w:eastAsia="黑体"/>
          <w:kern w:val="0"/>
          <w:sz w:val="24"/>
        </w:rPr>
        <w:t>年</w:t>
      </w:r>
      <w:r>
        <w:rPr>
          <w:rFonts w:hint="eastAsia" w:ascii="黑体" w:hAnsi="黑体" w:eastAsia="黑体"/>
          <w:kern w:val="0"/>
          <w:sz w:val="24"/>
          <w:lang w:val="en-US" w:eastAsia="zh-CN"/>
        </w:rPr>
        <w:t>4</w:t>
      </w:r>
      <w:r>
        <w:rPr>
          <w:rFonts w:hint="eastAsia" w:ascii="黑体" w:hAnsi="黑体" w:eastAsia="黑体"/>
          <w:kern w:val="0"/>
          <w:sz w:val="24"/>
        </w:rPr>
        <w:t>月）</w:t>
      </w:r>
    </w:p>
    <w:p>
      <w:pPr>
        <w:spacing w:line="360" w:lineRule="auto"/>
        <w:ind w:firstLine="480" w:firstLineChars="200"/>
        <w:rPr>
          <w:rFonts w:hint="eastAsia"/>
          <w:sz w:val="24"/>
        </w:rPr>
      </w:pPr>
      <w:r>
        <w:rPr>
          <w:rFonts w:hint="eastAsia"/>
          <w:sz w:val="24"/>
          <w:lang w:val="en-US" w:eastAsia="zh-CN"/>
        </w:rPr>
        <w:t>2024</w:t>
      </w:r>
      <w:r>
        <w:rPr>
          <w:rFonts w:hint="eastAsia"/>
          <w:sz w:val="24"/>
        </w:rPr>
        <w:t>年</w:t>
      </w:r>
      <w:r>
        <w:rPr>
          <w:rFonts w:hint="eastAsia"/>
          <w:sz w:val="24"/>
          <w:lang w:val="en-US" w:eastAsia="zh-CN"/>
        </w:rPr>
        <w:t>4</w:t>
      </w:r>
      <w:r>
        <w:rPr>
          <w:rFonts w:hint="eastAsia"/>
          <w:sz w:val="24"/>
        </w:rPr>
        <w:t>月</w:t>
      </w:r>
      <w:r>
        <w:rPr>
          <w:rFonts w:hint="eastAsia"/>
          <w:sz w:val="24"/>
          <w:lang w:val="en-US" w:eastAsia="zh-CN"/>
        </w:rPr>
        <w:t>18</w:t>
      </w:r>
      <w:r>
        <w:rPr>
          <w:rFonts w:hint="eastAsia"/>
          <w:sz w:val="24"/>
        </w:rPr>
        <w:t>日，</w:t>
      </w:r>
      <w:r>
        <w:rPr>
          <w:rFonts w:hint="eastAsia"/>
          <w:sz w:val="24"/>
          <w:lang w:val="en-US" w:eastAsia="zh-CN"/>
        </w:rPr>
        <w:t>江苏核电</w:t>
      </w:r>
      <w:r>
        <w:rPr>
          <w:rFonts w:hint="eastAsia"/>
          <w:sz w:val="24"/>
        </w:rPr>
        <w:t>在</w:t>
      </w:r>
      <w:r>
        <w:rPr>
          <w:rFonts w:hint="eastAsia"/>
          <w:sz w:val="24"/>
          <w:lang w:val="en-US" w:eastAsia="zh-CN"/>
        </w:rPr>
        <w:t>连云港</w:t>
      </w:r>
      <w:r>
        <w:rPr>
          <w:rFonts w:hint="eastAsia"/>
          <w:sz w:val="24"/>
        </w:rPr>
        <w:t>组织召开了</w:t>
      </w:r>
      <w:r>
        <w:rPr>
          <w:rFonts w:hint="eastAsia"/>
          <w:sz w:val="24"/>
          <w:lang w:val="en-US" w:eastAsia="zh-CN"/>
        </w:rPr>
        <w:t>核能供热标准体系框架及已策划标准草案讨论会，中国核电工程有限公司、清华大学核能与新能源技术研究院、东北电力设计院、中核苏能核电有限公司、中核能源科技有限公司等单位</w:t>
      </w:r>
      <w:r>
        <w:rPr>
          <w:rFonts w:hint="eastAsia"/>
          <w:sz w:val="24"/>
        </w:rPr>
        <w:t>的专家以及</w:t>
      </w:r>
      <w:r>
        <w:rPr>
          <w:rFonts w:hint="eastAsia" w:ascii="宋体" w:hAnsi="宋体"/>
          <w:kern w:val="0"/>
          <w:sz w:val="24"/>
          <w:lang w:val="zh-CN"/>
        </w:rPr>
        <w:t>起草工作组成员共</w:t>
      </w:r>
      <w:r>
        <w:rPr>
          <w:rFonts w:hint="eastAsia" w:ascii="宋体" w:hAnsi="宋体"/>
          <w:kern w:val="0"/>
          <w:sz w:val="24"/>
          <w:lang w:val="en-US" w:eastAsia="zh-CN"/>
        </w:rPr>
        <w:t>24</w:t>
      </w:r>
      <w:r>
        <w:rPr>
          <w:rFonts w:hint="eastAsia" w:ascii="宋体" w:hAnsi="宋体"/>
          <w:kern w:val="0"/>
          <w:sz w:val="24"/>
          <w:lang w:val="zh-CN"/>
        </w:rPr>
        <w:t>人</w:t>
      </w:r>
      <w:r>
        <w:rPr>
          <w:rFonts w:hint="eastAsia"/>
          <w:sz w:val="24"/>
        </w:rPr>
        <w:t>参会。会议对标准的</w:t>
      </w:r>
      <w:r>
        <w:rPr>
          <w:rFonts w:hint="eastAsia"/>
          <w:sz w:val="24"/>
          <w:lang w:val="en-US" w:eastAsia="zh-CN"/>
        </w:rPr>
        <w:t>目录框架、适用范围、主要内容以及技术差异进行了讨论，并</w:t>
      </w:r>
      <w:r>
        <w:rPr>
          <w:rFonts w:hint="eastAsia"/>
          <w:sz w:val="24"/>
        </w:rPr>
        <w:t>提出了具体的修改意见和建议</w:t>
      </w:r>
      <w:r>
        <w:rPr>
          <w:rFonts w:hint="eastAsia"/>
          <w:sz w:val="24"/>
          <w:lang w:eastAsia="zh-CN"/>
        </w:rPr>
        <w:t>，</w:t>
      </w:r>
      <w:r>
        <w:rPr>
          <w:rFonts w:hint="eastAsia"/>
          <w:sz w:val="24"/>
        </w:rPr>
        <w:t>起草工作组根据会议意见对标准进行了修改和完善。</w:t>
      </w:r>
    </w:p>
    <w:p>
      <w:pPr>
        <w:spacing w:line="360" w:lineRule="auto"/>
        <w:ind w:firstLine="480" w:firstLineChars="200"/>
        <w:rPr>
          <w:rFonts w:hint="eastAsia"/>
          <w:sz w:val="24"/>
        </w:rPr>
      </w:pPr>
      <w:r>
        <w:rPr>
          <w:rFonts w:hint="eastAsia"/>
          <w:sz w:val="24"/>
          <w:lang w:eastAsia="zh-CN"/>
        </w:rPr>
        <w:t>2024年5月6日，江苏核电有限公司组织召开“核能供热标准体系专项研究项目组全体参研单位会议”，会议邀请全国核能专业标准化技术委员会反应堆技术分技术委员会委员王长东作为项目导师参会指导，各参研单位项目组成员代表参会。会议对核能供热标准体系专项研究成果报告进行讨论和审议，各参研单位和特邀专家一致认为，研究报告总体思路清晰、内容详实，国内外核能供热技术及标准情况调研充分，标准需求分析清晰明确，核能供热标准体系框架设置考虑全面，规划较为合理，形成了内容翔实的核能供热国标、行标、团标策划清单，核能供热标准体系专项研究成果报告的深度符合标准体系策划要求。</w:t>
      </w:r>
    </w:p>
    <w:p>
      <w:pPr>
        <w:spacing w:line="360" w:lineRule="auto"/>
        <w:ind w:firstLine="480" w:firstLineChars="200"/>
        <w:rPr>
          <w:rFonts w:hint="eastAsia"/>
          <w:sz w:val="24"/>
          <w:lang w:val="en-US" w:eastAsia="zh-CN"/>
        </w:rPr>
      </w:pPr>
      <w:r>
        <w:rPr>
          <w:rFonts w:hint="eastAsia"/>
          <w:sz w:val="24"/>
          <w:lang w:eastAsia="zh-CN"/>
        </w:rPr>
        <w:t>2024年</w:t>
      </w:r>
      <w:r>
        <w:rPr>
          <w:rFonts w:hint="eastAsia"/>
          <w:sz w:val="24"/>
          <w:lang w:val="en-US" w:eastAsia="zh-CN"/>
        </w:rPr>
        <w:t>6月-2025年4月，项目组根据标准草案讨论会会议意见，</w:t>
      </w:r>
      <w:r>
        <w:rPr>
          <w:rFonts w:hint="eastAsia"/>
          <w:sz w:val="24"/>
        </w:rPr>
        <w:t>对</w:t>
      </w:r>
      <w:r>
        <w:rPr>
          <w:rFonts w:hint="eastAsia"/>
          <w:sz w:val="24"/>
          <w:lang w:val="en-US" w:eastAsia="zh-CN"/>
        </w:rPr>
        <w:t>核能供热系列</w:t>
      </w:r>
      <w:r>
        <w:rPr>
          <w:rFonts w:hint="eastAsia"/>
          <w:sz w:val="24"/>
        </w:rPr>
        <w:t>标准的</w:t>
      </w:r>
      <w:r>
        <w:rPr>
          <w:rFonts w:hint="eastAsia"/>
          <w:sz w:val="24"/>
          <w:lang w:val="en-US" w:eastAsia="zh-CN"/>
        </w:rPr>
        <w:t>目录框架、适用范围、主要内容以及技术差异进行了统一修改，形成征求意见稿。</w:t>
      </w:r>
    </w:p>
    <w:p>
      <w:pPr>
        <w:spacing w:before="240" w:line="360" w:lineRule="auto"/>
        <w:outlineLvl w:val="2"/>
        <w:rPr>
          <w:rFonts w:ascii="黑体" w:hAnsi="黑体" w:eastAsia="黑体"/>
          <w:kern w:val="0"/>
          <w:sz w:val="24"/>
        </w:rPr>
      </w:pPr>
      <w:r>
        <w:rPr>
          <w:rFonts w:hint="eastAsia" w:ascii="黑体" w:hAnsi="黑体" w:eastAsia="黑体"/>
          <w:kern w:val="0"/>
          <w:sz w:val="24"/>
        </w:rPr>
        <w:t>4.3</w:t>
      </w:r>
      <w:r>
        <w:rPr>
          <w:rFonts w:ascii="黑体" w:hAnsi="黑体" w:eastAsia="黑体"/>
          <w:kern w:val="0"/>
          <w:sz w:val="24"/>
        </w:rPr>
        <w:t xml:space="preserve"> </w:t>
      </w:r>
      <w:r>
        <w:rPr>
          <w:rFonts w:hint="eastAsia" w:ascii="黑体" w:hAnsi="黑体" w:eastAsia="黑体"/>
          <w:kern w:val="0"/>
          <w:sz w:val="24"/>
        </w:rPr>
        <w:t>送审稿编制（20</w:t>
      </w:r>
      <w:r>
        <w:rPr>
          <w:rFonts w:ascii="黑体" w:hAnsi="黑体" w:eastAsia="黑体"/>
          <w:kern w:val="0"/>
          <w:sz w:val="24"/>
        </w:rPr>
        <w:t>X</w:t>
      </w:r>
      <w:r>
        <w:rPr>
          <w:rFonts w:hint="eastAsia" w:ascii="黑体" w:hAnsi="黑体" w:eastAsia="黑体"/>
          <w:kern w:val="0"/>
          <w:sz w:val="24"/>
        </w:rPr>
        <w:t>X年X月-20XX年X月）</w:t>
      </w:r>
    </w:p>
    <w:p>
      <w:pPr>
        <w:spacing w:line="360" w:lineRule="auto"/>
        <w:ind w:firstLine="480"/>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暂无</w:t>
      </w:r>
    </w:p>
    <w:p>
      <w:pPr>
        <w:spacing w:before="240" w:line="360" w:lineRule="auto"/>
        <w:outlineLvl w:val="2"/>
        <w:rPr>
          <w:rFonts w:hint="eastAsia" w:ascii="黑体" w:hAnsi="黑体" w:eastAsia="黑体"/>
          <w:kern w:val="0"/>
          <w:sz w:val="24"/>
        </w:rPr>
      </w:pPr>
      <w:r>
        <w:rPr>
          <w:rFonts w:hint="eastAsia" w:ascii="黑体" w:hAnsi="黑体" w:eastAsia="黑体"/>
          <w:kern w:val="0"/>
          <w:sz w:val="24"/>
        </w:rPr>
        <w:t>4</w:t>
      </w:r>
      <w:r>
        <w:rPr>
          <w:rFonts w:ascii="黑体" w:hAnsi="黑体" w:eastAsia="黑体"/>
          <w:kern w:val="0"/>
          <w:sz w:val="24"/>
        </w:rPr>
        <w:t>.</w:t>
      </w:r>
      <w:r>
        <w:rPr>
          <w:rFonts w:hint="eastAsia" w:ascii="黑体" w:hAnsi="黑体" w:eastAsia="黑体"/>
          <w:kern w:val="0"/>
          <w:sz w:val="24"/>
        </w:rPr>
        <w:t>4</w:t>
      </w:r>
      <w:r>
        <w:rPr>
          <w:rFonts w:ascii="黑体" w:hAnsi="黑体" w:eastAsia="黑体"/>
          <w:kern w:val="0"/>
          <w:sz w:val="24"/>
        </w:rPr>
        <w:t xml:space="preserve"> </w:t>
      </w:r>
      <w:r>
        <w:rPr>
          <w:rFonts w:hint="eastAsia" w:ascii="黑体" w:hAnsi="黑体" w:eastAsia="黑体"/>
          <w:kern w:val="0"/>
          <w:sz w:val="24"/>
        </w:rPr>
        <w:t>报批稿编制（20XX年X月-20XX年X月）</w:t>
      </w:r>
    </w:p>
    <w:p>
      <w:pPr>
        <w:spacing w:line="360" w:lineRule="auto"/>
        <w:ind w:firstLine="480"/>
        <w:rPr>
          <w:rFonts w:hint="eastAsia"/>
          <w:sz w:val="24"/>
          <w:lang w:val="en-US" w:eastAsia="zh-CN"/>
        </w:rPr>
      </w:pPr>
      <w:r>
        <w:rPr>
          <w:rFonts w:hint="eastAsia" w:ascii="Calibri" w:hAnsi="Calibri" w:eastAsia="宋体" w:cs="Times New Roman"/>
          <w:sz w:val="24"/>
          <w:lang w:val="en-US" w:eastAsia="zh-CN"/>
        </w:rPr>
        <w:t>暂无</w:t>
      </w:r>
    </w:p>
    <w:p>
      <w:pPr>
        <w:numPr>
          <w:ilvl w:val="0"/>
          <w:numId w:val="1"/>
        </w:numPr>
        <w:spacing w:before="240" w:after="240" w:line="360" w:lineRule="auto"/>
        <w:rPr>
          <w:rFonts w:ascii="黑体" w:eastAsia="黑体"/>
          <w:sz w:val="28"/>
          <w:szCs w:val="28"/>
        </w:rPr>
      </w:pPr>
      <w:r>
        <w:rPr>
          <w:rFonts w:hint="eastAsia" w:ascii="黑体" w:eastAsia="黑体"/>
          <w:sz w:val="28"/>
          <w:szCs w:val="28"/>
        </w:rPr>
        <w:t>标准</w:t>
      </w:r>
      <w:r>
        <w:rPr>
          <w:rFonts w:ascii="黑体" w:eastAsia="黑体"/>
          <w:sz w:val="28"/>
          <w:szCs w:val="28"/>
        </w:rPr>
        <w:t>编制原则</w:t>
      </w:r>
      <w:r>
        <w:rPr>
          <w:rFonts w:hint="eastAsia" w:ascii="黑体" w:eastAsia="黑体"/>
          <w:sz w:val="28"/>
          <w:szCs w:val="28"/>
        </w:rPr>
        <w:t>和</w:t>
      </w:r>
      <w:r>
        <w:rPr>
          <w:rFonts w:ascii="黑体" w:eastAsia="黑体"/>
          <w:sz w:val="28"/>
          <w:szCs w:val="28"/>
        </w:rPr>
        <w:t>确定标准主要内容的依据</w:t>
      </w:r>
    </w:p>
    <w:p>
      <w:pPr>
        <w:pStyle w:val="20"/>
        <w:numPr>
          <w:ilvl w:val="0"/>
          <w:numId w:val="3"/>
        </w:numPr>
        <w:spacing w:before="240" w:after="240" w:line="360" w:lineRule="auto"/>
        <w:ind w:firstLineChars="0"/>
        <w:rPr>
          <w:rFonts w:eastAsia="黑体"/>
          <w:sz w:val="28"/>
          <w:szCs w:val="28"/>
        </w:rPr>
      </w:pPr>
      <w:r>
        <w:rPr>
          <w:rFonts w:hint="eastAsia" w:ascii="黑体" w:hAnsi="黑体" w:eastAsia="黑体"/>
          <w:kern w:val="0"/>
          <w:sz w:val="24"/>
        </w:rPr>
        <w:t>标准编制</w:t>
      </w:r>
      <w:r>
        <w:rPr>
          <w:rFonts w:ascii="黑体" w:hAnsi="黑体" w:eastAsia="黑体"/>
          <w:kern w:val="0"/>
          <w:sz w:val="24"/>
        </w:rPr>
        <w:t>原则</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主要依据中国核学会团体标准管理相关要求，说明标准的科学性和实用性。</w:t>
      </w:r>
    </w:p>
    <w:p>
      <w:pPr>
        <w:widowControl/>
        <w:spacing w:line="360" w:lineRule="auto"/>
        <w:jc w:val="left"/>
        <w:rPr>
          <w:rFonts w:ascii="宋体" w:hAnsi="宋体" w:eastAsia="宋体" w:cs="Times New Roman"/>
          <w:sz w:val="24"/>
          <w:szCs w:val="24"/>
        </w:rPr>
      </w:pPr>
      <w:r>
        <w:rPr>
          <w:rFonts w:hint="eastAsia" w:ascii="宋体" w:hAnsi="宋体" w:eastAsia="宋体" w:cs="Times New Roman"/>
          <w:sz w:val="24"/>
          <w:szCs w:val="24"/>
        </w:rPr>
        <w:t>本标准的编制符合压水堆核能供汽性能试验的原则，本着先进性、科学性、合理性和可操作性的原则以及标准的目标、统一性、协调性、</w:t>
      </w:r>
      <w:r>
        <w:rPr>
          <w:rFonts w:ascii="宋体" w:hAnsi="宋体" w:eastAsia="宋体" w:cs="Times New Roman"/>
          <w:sz w:val="24"/>
          <w:szCs w:val="24"/>
        </w:rPr>
        <w:t>实用性、一致性和</w:t>
      </w:r>
      <w:r>
        <w:rPr>
          <w:rFonts w:hint="eastAsia" w:ascii="宋体" w:hAnsi="宋体" w:eastAsia="宋体" w:cs="Times New Roman"/>
          <w:sz w:val="24"/>
          <w:szCs w:val="24"/>
        </w:rPr>
        <w:t>规范性原则来进行本标准的制定工作。</w:t>
      </w:r>
    </w:p>
    <w:p>
      <w:pPr>
        <w:widowControl/>
        <w:spacing w:line="360" w:lineRule="auto"/>
        <w:jc w:val="left"/>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1）科学性</w:t>
      </w:r>
    </w:p>
    <w:p>
      <w:pPr>
        <w:widowControl/>
        <w:spacing w:line="360" w:lineRule="auto"/>
        <w:ind w:firstLine="480" w:firstLineChars="200"/>
        <w:jc w:val="left"/>
        <w:rPr>
          <w:rFonts w:ascii="宋体" w:hAnsi="宋体" w:eastAsia="宋体" w:cs="Times New Roman"/>
          <w:i/>
          <w:sz w:val="24"/>
          <w:szCs w:val="24"/>
        </w:rPr>
      </w:pPr>
      <w:r>
        <w:rPr>
          <w:rFonts w:hint="eastAsia" w:ascii="宋体" w:hAnsi="宋体" w:eastAsia="宋体" w:cs="Times New Roman"/>
          <w:sz w:val="24"/>
          <w:szCs w:val="24"/>
        </w:rPr>
        <w:t>本标准根据压水堆核能供汽项目建设和投用实际情况，对核能供汽性能试验的总体要求进行了归纳总结，提出了性能试验具体实施原则的建议。在调试阶段性能考核试验要求中结合各核能供汽项目的经验和不同技术路线要求进行了整合，提出了试验标准、条件、试验内容、评价要求等较为完善的考量和建议，同时结合标准NB/T 25052-2016 核电厂常规岛热力性能试验导则对本文进行编写。在运行阶段性能试验要求中，增加了GB/T 1987-2009 机器状态监测与诊断 振动状态监测和DL/T 1103-2009 核电站管道振动测试与评估作为补充试验进行编制，并结合换热器评价的具体实际情况补充了个性化的要求。</w:t>
      </w:r>
    </w:p>
    <w:p>
      <w:pPr>
        <w:widowControl/>
        <w:spacing w:line="360" w:lineRule="auto"/>
        <w:jc w:val="left"/>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2）实用性</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本文制定压水堆核电厂核能供汽性能试验需考虑的总体要求、试验项目、执行要求，从试验要求、试验准备、试验项目等方面对压水堆核电厂核能供汽性能试验提出一般性的要求。从试验标准、试验条件、试验内容、等分别对调试阶段和运行阶段的主要性能试验提出了具体的建议要求。合理精准开展压水堆核电厂核能供汽性能试验，全面提高项目运行性能评价的公平性和准确性，减少试验的主观性、随意性，增加科学性、客观性，从而确保供热系统与设备满足设计要求，并持续处于电厂的有效监控下。</w:t>
      </w:r>
    </w:p>
    <w:p>
      <w:pPr>
        <w:pStyle w:val="20"/>
        <w:numPr>
          <w:ilvl w:val="0"/>
          <w:numId w:val="3"/>
        </w:numPr>
        <w:spacing w:before="240" w:after="240" w:line="360" w:lineRule="auto"/>
        <w:ind w:firstLineChars="0"/>
        <w:rPr>
          <w:rFonts w:ascii="黑体" w:hAnsi="黑体" w:eastAsia="黑体"/>
          <w:kern w:val="0"/>
          <w:sz w:val="24"/>
        </w:rPr>
      </w:pPr>
      <w:bookmarkStart w:id="0" w:name="_Toc361669937"/>
      <w:bookmarkEnd w:id="0"/>
      <w:r>
        <w:rPr>
          <w:rFonts w:hint="eastAsia" w:ascii="黑体" w:hAnsi="黑体" w:eastAsia="黑体"/>
          <w:kern w:val="0"/>
          <w:sz w:val="24"/>
        </w:rPr>
        <w:t>确定标准主要内容的依据</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标准编写的格式应遵从</w:t>
      </w:r>
      <w:r>
        <w:rPr>
          <w:rFonts w:ascii="宋体" w:hAnsi="宋体" w:eastAsia="宋体" w:cs="Times New Roman"/>
          <w:sz w:val="24"/>
          <w:szCs w:val="24"/>
        </w:rPr>
        <w:t>GB/T 1.1-2009的要求，</w:t>
      </w:r>
      <w:r>
        <w:rPr>
          <w:rFonts w:hint="eastAsia" w:ascii="宋体" w:hAnsi="宋体" w:eastAsia="宋体" w:cs="Times New Roman"/>
          <w:sz w:val="24"/>
          <w:szCs w:val="24"/>
        </w:rPr>
        <w:t>同时对标准的各个章节</w:t>
      </w:r>
      <w:r>
        <w:rPr>
          <w:rFonts w:ascii="宋体" w:hAnsi="宋体" w:eastAsia="宋体" w:cs="Times New Roman"/>
          <w:sz w:val="24"/>
          <w:szCs w:val="24"/>
        </w:rPr>
        <w:t>技术和内容主要依据</w:t>
      </w:r>
      <w:r>
        <w:rPr>
          <w:rFonts w:hint="eastAsia" w:ascii="宋体" w:hAnsi="宋体" w:eastAsia="宋体" w:cs="Times New Roman"/>
          <w:sz w:val="24"/>
          <w:szCs w:val="24"/>
        </w:rPr>
        <w:t>进行详细说明。</w:t>
      </w:r>
    </w:p>
    <w:p>
      <w:pPr>
        <w:numPr>
          <w:ilvl w:val="0"/>
          <w:numId w:val="1"/>
        </w:numPr>
        <w:spacing w:before="240" w:after="240" w:line="360" w:lineRule="auto"/>
        <w:rPr>
          <w:rFonts w:ascii="黑体" w:eastAsia="黑体"/>
          <w:sz w:val="28"/>
          <w:szCs w:val="28"/>
        </w:rPr>
      </w:pPr>
      <w:r>
        <w:rPr>
          <w:rFonts w:hint="eastAsia" w:ascii="黑体" w:hAnsi="宋体" w:eastAsia="黑体"/>
          <w:sz w:val="28"/>
          <w:szCs w:val="28"/>
        </w:rPr>
        <w:t>标准主要</w:t>
      </w:r>
      <w:r>
        <w:rPr>
          <w:rFonts w:ascii="黑体" w:hAnsi="宋体" w:eastAsia="黑体"/>
          <w:sz w:val="28"/>
          <w:szCs w:val="28"/>
        </w:rPr>
        <w:t>内容的确定</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性能试验是对在运核电机组和新建机组的设备运行性能进行测试，验证性能指标是否满足设计要求。目前核电厂性能考核试验仍参考P</w:t>
      </w:r>
      <w:r>
        <w:rPr>
          <w:rFonts w:ascii="宋体" w:hAnsi="宋体" w:eastAsia="宋体" w:cs="Times New Roman"/>
          <w:sz w:val="24"/>
          <w:szCs w:val="24"/>
        </w:rPr>
        <w:t>TC-6</w:t>
      </w:r>
      <w:r>
        <w:rPr>
          <w:rFonts w:hint="eastAsia" w:ascii="宋体" w:hAnsi="宋体" w:eastAsia="宋体" w:cs="Times New Roman"/>
          <w:sz w:val="24"/>
          <w:szCs w:val="24"/>
        </w:rPr>
        <w:t>《汽轮机性能试验规程》，以整个二回路热力系统为试验研究对象,对整个汽轮发电机组的出力和经济性进行了考核，没有涵盖核能供汽系统性能的评估与考核，不利于核能综合利用运行评价，也不利于设备的精细化管控。对于没有开展核能供汽性能试验的项目，可能导致设备性能降低和外供热(汽</w:t>
      </w:r>
      <w:r>
        <w:rPr>
          <w:rFonts w:ascii="宋体" w:hAnsi="宋体" w:eastAsia="宋体" w:cs="Times New Roman"/>
          <w:sz w:val="24"/>
          <w:szCs w:val="24"/>
        </w:rPr>
        <w:t>)</w:t>
      </w:r>
      <w:r>
        <w:rPr>
          <w:rFonts w:hint="eastAsia" w:ascii="宋体" w:hAnsi="宋体" w:eastAsia="宋体" w:cs="Times New Roman"/>
          <w:sz w:val="24"/>
          <w:szCs w:val="24"/>
        </w:rPr>
        <w:t>质量下降，进而造成较严重的生产事故。因此，有必要从性能试验的角度对核能供汽系统与设备进行评价和制定相应的管控措施，确保供热系统与设备满足设计要求，并持续处于电厂的有效监控下。</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常规核电机组实施较大规模供汽项目后，常规岛热平衡发生较大变化，需要开展针对供汽后机组发电能力、能源站供汽能力、供汽对电功率影响等项目的性能考核试验以及供热系统定期性能试验，以保证核能供汽系统的运行效能，现有标准不能指导相关工作的开展，有必要编制相应的技术导则，指导相关工作。</w:t>
      </w:r>
    </w:p>
    <w:p>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标准水平</w:t>
      </w:r>
      <w:r>
        <w:rPr>
          <w:rFonts w:ascii="黑体" w:hAnsi="宋体" w:eastAsia="黑体"/>
          <w:sz w:val="28"/>
          <w:szCs w:val="28"/>
        </w:rPr>
        <w:t>分析</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2023年6月，全国核能标准化技术委员会发文《关于成立“核能综合利用标准体系研究”等20个项目组开展标准化专项研究的通知》（核能标发〔2023〕14号），其中江苏核电有限公司作为核能综合利用标准体系研究项目组五个平行开展研究的牵头单位之一，聚焦已有成熟应用的核能供热方向，联合多家单位开展核能供热标准体系专项研究工作。</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核能供热（汽）对北方民用供暖以及国内高耗能工业园区工艺用热低碳、低能耗、低成本发展具有重要意义，市场前景巨大，需要建立完善的核能供热标准体系支撑核能供热项目的建设和运行。目前已形成核能供热标准体系总体框架</w:t>
      </w:r>
      <w:bookmarkStart w:id="1" w:name="_GoBack"/>
      <w:bookmarkEnd w:id="1"/>
      <w:r>
        <w:rPr>
          <w:rFonts w:hint="eastAsia" w:ascii="宋体" w:hAnsi="宋体" w:eastAsia="宋体" w:cs="Times New Roman"/>
          <w:sz w:val="24"/>
          <w:szCs w:val="24"/>
        </w:rPr>
        <w:t>，本标准作为核能供热标准体系总体框架下子标准，具有一定的必要性。</w:t>
      </w:r>
    </w:p>
    <w:p>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与有关</w:t>
      </w:r>
      <w:r>
        <w:rPr>
          <w:rFonts w:ascii="黑体" w:hAnsi="宋体" w:eastAsia="黑体"/>
          <w:sz w:val="28"/>
          <w:szCs w:val="28"/>
        </w:rPr>
        <w:t>的现行法律</w:t>
      </w:r>
      <w:r>
        <w:rPr>
          <w:rFonts w:hint="eastAsia" w:ascii="黑体" w:hAnsi="宋体" w:eastAsia="黑体"/>
          <w:sz w:val="28"/>
          <w:szCs w:val="28"/>
        </w:rPr>
        <w:t>、</w:t>
      </w:r>
      <w:r>
        <w:rPr>
          <w:rFonts w:ascii="黑体" w:hAnsi="宋体" w:eastAsia="黑体"/>
          <w:sz w:val="28"/>
          <w:szCs w:val="28"/>
        </w:rPr>
        <w:t>法规</w:t>
      </w:r>
      <w:r>
        <w:rPr>
          <w:rFonts w:hint="eastAsia" w:ascii="黑体" w:hAnsi="宋体" w:eastAsia="黑体"/>
          <w:sz w:val="28"/>
          <w:szCs w:val="28"/>
        </w:rPr>
        <w:t>和</w:t>
      </w:r>
      <w:r>
        <w:rPr>
          <w:rFonts w:ascii="黑体" w:hAnsi="宋体" w:eastAsia="黑体"/>
          <w:sz w:val="28"/>
          <w:szCs w:val="28"/>
        </w:rPr>
        <w:t>强制性国家标准的关系</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本标准的原则遵守现行相关法律、法规、规章，与国家强制性民用建筑标准相关要求一致。</w:t>
      </w:r>
    </w:p>
    <w:p>
      <w:pPr>
        <w:numPr>
          <w:ilvl w:val="0"/>
          <w:numId w:val="1"/>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无。</w:t>
      </w:r>
    </w:p>
    <w:p>
      <w:pPr>
        <w:numPr>
          <w:ilvl w:val="0"/>
          <w:numId w:val="1"/>
        </w:numPr>
        <w:spacing w:before="240" w:after="240" w:line="360" w:lineRule="auto"/>
        <w:rPr>
          <w:rFonts w:ascii="黑体" w:eastAsia="黑体"/>
          <w:sz w:val="28"/>
          <w:szCs w:val="28"/>
        </w:rPr>
      </w:pPr>
      <w:r>
        <w:rPr>
          <w:rFonts w:hint="eastAsia" w:ascii="黑体" w:eastAsia="黑体"/>
          <w:sz w:val="28"/>
          <w:szCs w:val="28"/>
        </w:rPr>
        <w:t>涉及专利的有关说明</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已申报发明专利“一种通用的核能供汽系统性能试验方法”，目前已受理。</w:t>
      </w:r>
    </w:p>
    <w:p>
      <w:pPr>
        <w:numPr>
          <w:ilvl w:val="0"/>
          <w:numId w:val="1"/>
        </w:numPr>
        <w:spacing w:before="240" w:after="240" w:line="360" w:lineRule="auto"/>
        <w:rPr>
          <w:rFonts w:ascii="黑体" w:eastAsia="黑体"/>
          <w:sz w:val="28"/>
          <w:szCs w:val="28"/>
        </w:rPr>
      </w:pPr>
      <w:r>
        <w:rPr>
          <w:rFonts w:hint="eastAsia" w:ascii="黑体" w:eastAsia="黑体"/>
          <w:sz w:val="28"/>
          <w:szCs w:val="28"/>
        </w:rPr>
        <w:t>贯彻标准</w:t>
      </w:r>
      <w:r>
        <w:rPr>
          <w:rFonts w:ascii="黑体" w:eastAsia="黑体"/>
          <w:sz w:val="28"/>
          <w:szCs w:val="28"/>
        </w:rPr>
        <w:t>的要求和措施建议</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标准发布后，江苏核电有限公司将配合中国核学会组织行业召开标准宣贯会，开展培训活动，促进该标准更好的贯彻实施。</w:t>
      </w:r>
    </w:p>
    <w:p>
      <w:pPr>
        <w:numPr>
          <w:ilvl w:val="0"/>
          <w:numId w:val="1"/>
        </w:numPr>
        <w:spacing w:before="240" w:after="240" w:line="360" w:lineRule="auto"/>
        <w:rPr>
          <w:rFonts w:ascii="黑体" w:eastAsia="黑体"/>
          <w:sz w:val="28"/>
          <w:szCs w:val="28"/>
        </w:rPr>
      </w:pPr>
      <w:r>
        <w:rPr>
          <w:rFonts w:hint="eastAsia" w:ascii="黑体" w:eastAsia="黑体"/>
          <w:sz w:val="28"/>
          <w:szCs w:val="28"/>
        </w:rPr>
        <w:t>废止</w:t>
      </w:r>
      <w:r>
        <w:rPr>
          <w:rFonts w:ascii="黑体" w:eastAsia="黑体"/>
          <w:sz w:val="28"/>
          <w:szCs w:val="28"/>
        </w:rPr>
        <w:t>现有有关标准的建议</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无。</w:t>
      </w:r>
    </w:p>
    <w:p>
      <w:pPr>
        <w:numPr>
          <w:ilvl w:val="0"/>
          <w:numId w:val="1"/>
        </w:numPr>
        <w:spacing w:before="240" w:after="240" w:line="360" w:lineRule="auto"/>
        <w:rPr>
          <w:rFonts w:ascii="黑体" w:eastAsia="黑体"/>
          <w:sz w:val="28"/>
          <w:szCs w:val="28"/>
        </w:rPr>
      </w:pPr>
      <w:r>
        <w:rPr>
          <w:rFonts w:hint="eastAsia" w:ascii="黑体" w:eastAsia="黑体"/>
          <w:sz w:val="28"/>
          <w:szCs w:val="28"/>
        </w:rPr>
        <w:t>预期效果</w:t>
      </w:r>
    </w:p>
    <w:p>
      <w:pPr>
        <w:spacing w:before="240" w:after="240"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1）准确评价核能供汽项目性能指标，参建各方依据合同对项目进行考核或奖励，也为项目总体投资经济性评价提供重要试验数据。</w:t>
      </w:r>
    </w:p>
    <w:p>
      <w:pPr>
        <w:spacing w:before="240" w:after="240" w:line="360" w:lineRule="auto"/>
        <w:ind w:firstLine="480" w:firstLineChars="200"/>
        <w:rPr>
          <w:rFonts w:ascii="黑体" w:eastAsia="黑体"/>
          <w:sz w:val="28"/>
          <w:szCs w:val="28"/>
        </w:rPr>
      </w:pPr>
      <w:r>
        <w:rPr>
          <w:rFonts w:hint="eastAsia" w:ascii="宋体" w:hAnsi="宋体" w:eastAsia="宋体" w:cs="Times New Roman"/>
          <w:sz w:val="24"/>
          <w:szCs w:val="24"/>
        </w:rPr>
        <w:t>2）持续监测核能供汽项目的运行性能，避免因导致设备性能降低和外供热(汽</w:t>
      </w:r>
      <w:r>
        <w:rPr>
          <w:rFonts w:ascii="宋体" w:hAnsi="宋体" w:eastAsia="宋体" w:cs="Times New Roman"/>
          <w:sz w:val="24"/>
          <w:szCs w:val="24"/>
        </w:rPr>
        <w:t>)</w:t>
      </w:r>
      <w:r>
        <w:rPr>
          <w:rFonts w:hint="eastAsia" w:ascii="宋体" w:hAnsi="宋体" w:eastAsia="宋体" w:cs="Times New Roman"/>
          <w:sz w:val="24"/>
          <w:szCs w:val="24"/>
        </w:rPr>
        <w:t>质量下降造成较严重的生产事故。</w:t>
      </w:r>
    </w:p>
    <w:p>
      <w:pPr>
        <w:numPr>
          <w:ilvl w:val="0"/>
          <w:numId w:val="1"/>
        </w:numPr>
        <w:spacing w:before="240" w:after="240" w:line="360" w:lineRule="auto"/>
        <w:rPr>
          <w:rFonts w:ascii="黑体" w:eastAsia="黑体"/>
          <w:sz w:val="28"/>
          <w:szCs w:val="28"/>
        </w:rPr>
      </w:pPr>
      <w:r>
        <w:rPr>
          <w:rFonts w:hint="eastAsia" w:ascii="黑体" w:eastAsia="黑体"/>
          <w:sz w:val="28"/>
          <w:szCs w:val="28"/>
        </w:rPr>
        <w:t>参考资料</w:t>
      </w:r>
      <w:r>
        <w:rPr>
          <w:rFonts w:ascii="黑体" w:eastAsia="黑体"/>
          <w:sz w:val="28"/>
          <w:szCs w:val="28"/>
        </w:rPr>
        <w:t>清单</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NB/T 25052-2016 核电厂常规岛热力性能试验导则</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DL/T 1616-2016 火力发电机组性能试验导则</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ASME PTC6-2016 核电厂常规岛热力性能试验导则</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GB/T 8117-2008 汽轮机热力性能验收试验规程</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GB/T 28686—2012 燃气轮机热力性能试验</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GB/T 1987-2009 机器状态监测与诊断 振动状态监测</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DL/T 1103-2009 核电站管道振动测试与评估</w:t>
      </w:r>
    </w:p>
    <w:p>
      <w:pPr>
        <w:numPr>
          <w:ilvl w:val="0"/>
          <w:numId w:val="1"/>
        </w:numPr>
        <w:spacing w:before="240" w:after="240" w:line="360" w:lineRule="auto"/>
        <w:rPr>
          <w:rFonts w:ascii="黑体" w:eastAsia="黑体"/>
          <w:sz w:val="28"/>
          <w:szCs w:val="28"/>
        </w:rPr>
      </w:pPr>
      <w:r>
        <w:rPr>
          <w:rFonts w:hint="eastAsia" w:ascii="黑体" w:eastAsia="黑体"/>
          <w:sz w:val="28"/>
          <w:szCs w:val="28"/>
        </w:rPr>
        <w:t>其他</w:t>
      </w:r>
      <w:r>
        <w:rPr>
          <w:rFonts w:ascii="黑体" w:eastAsia="黑体"/>
          <w:sz w:val="28"/>
          <w:szCs w:val="28"/>
        </w:rPr>
        <w:t>应予说明的事项</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无。</w:t>
      </w:r>
    </w:p>
    <w:p>
      <w:pPr>
        <w:spacing w:line="360" w:lineRule="auto"/>
        <w:ind w:firstLine="560" w:firstLineChars="200"/>
        <w:rPr>
          <w:rFonts w:ascii="黑体" w:eastAsia="黑体"/>
          <w:sz w:val="28"/>
          <w:szCs w:val="28"/>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docPartObj>
        <w:docPartGallery w:val="autotext"/>
      </w:docPartObj>
    </w:sdtPr>
    <w:sdtEndPr>
      <w:rPr>
        <w:rFonts w:asciiTheme="minorEastAsia" w:hAnsiTheme="minorEastAsia"/>
        <w:sz w:val="21"/>
        <w:szCs w:val="21"/>
      </w:rPr>
    </w:sdtEndPr>
    <w:sdtContent>
      <w:p>
        <w:pPr>
          <w:pStyle w:val="8"/>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E3D38"/>
    <w:multiLevelType w:val="multilevel"/>
    <w:tmpl w:val="2D4E3D38"/>
    <w:lvl w:ilvl="0" w:tentative="0">
      <w:start w:val="1"/>
      <w:numFmt w:val="japaneseCounting"/>
      <w:lvlText w:val="%1、"/>
      <w:lvlJc w:val="left"/>
      <w:pPr>
        <w:tabs>
          <w:tab w:val="left" w:pos="720"/>
        </w:tabs>
        <w:ind w:left="720" w:hanging="720"/>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3480C12"/>
    <w:multiLevelType w:val="multilevel"/>
    <w:tmpl w:val="33480C1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38386E"/>
    <w:multiLevelType w:val="multilevel"/>
    <w:tmpl w:val="4138386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22A"/>
    <w:rsid w:val="002423FC"/>
    <w:rsid w:val="002A0546"/>
    <w:rsid w:val="004B123D"/>
    <w:rsid w:val="00642F73"/>
    <w:rsid w:val="007C204A"/>
    <w:rsid w:val="00857D7E"/>
    <w:rsid w:val="009410C1"/>
    <w:rsid w:val="00A21D47"/>
    <w:rsid w:val="00AE67CC"/>
    <w:rsid w:val="00BD3BB5"/>
    <w:rsid w:val="00F263F1"/>
    <w:rsid w:val="00F6704F"/>
    <w:rsid w:val="00F9522A"/>
    <w:rsid w:val="085E7E7E"/>
    <w:rsid w:val="611C1C44"/>
    <w:rsid w:val="63F73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w:basedOn w:val="1"/>
    <w:link w:val="31"/>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8"/>
    <w:semiHidden/>
    <w:unhideWhenUsed/>
    <w:qFormat/>
    <w:uiPriority w:val="99"/>
    <w:pPr>
      <w:snapToGrid w:val="0"/>
      <w:jc w:val="left"/>
    </w:pPr>
    <w:rPr>
      <w:sz w:val="18"/>
      <w:szCs w:val="18"/>
    </w:rPr>
  </w:style>
  <w:style w:type="paragraph" w:styleId="11">
    <w:name w:val="Title"/>
    <w:basedOn w:val="1"/>
    <w:next w:val="1"/>
    <w:link w:val="30"/>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style>
  <w:style w:type="character" w:styleId="16">
    <w:name w:val="annotation reference"/>
    <w:basedOn w:val="14"/>
    <w:semiHidden/>
    <w:unhideWhenUsed/>
    <w:qFormat/>
    <w:uiPriority w:val="99"/>
    <w:rPr>
      <w:sz w:val="21"/>
      <w:szCs w:val="21"/>
    </w:rPr>
  </w:style>
  <w:style w:type="character" w:styleId="17">
    <w:name w:val="footnote reference"/>
    <w:basedOn w:val="14"/>
    <w:semiHidden/>
    <w:unhideWhenUsed/>
    <w:qFormat/>
    <w:uiPriority w:val="99"/>
    <w:rPr>
      <w:vertAlign w:val="superscript"/>
    </w:rPr>
  </w:style>
  <w:style w:type="character" w:customStyle="1" w:styleId="18">
    <w:name w:val="页眉 字符"/>
    <w:basedOn w:val="14"/>
    <w:link w:val="9"/>
    <w:qFormat/>
    <w:uiPriority w:val="99"/>
    <w:rPr>
      <w:sz w:val="18"/>
      <w:szCs w:val="18"/>
    </w:rPr>
  </w:style>
  <w:style w:type="character" w:customStyle="1" w:styleId="19">
    <w:name w:val="页脚 字符"/>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1 字符"/>
    <w:basedOn w:val="14"/>
    <w:link w:val="2"/>
    <w:qFormat/>
    <w:uiPriority w:val="9"/>
    <w:rPr>
      <w:b/>
      <w:bCs/>
      <w:kern w:val="44"/>
      <w:sz w:val="44"/>
      <w:szCs w:val="44"/>
    </w:rPr>
  </w:style>
  <w:style w:type="character" w:customStyle="1" w:styleId="22">
    <w:name w:val="标题 2 字符"/>
    <w:basedOn w:val="14"/>
    <w:link w:val="3"/>
    <w:qFormat/>
    <w:uiPriority w:val="9"/>
    <w:rPr>
      <w:rFonts w:asciiTheme="majorHAnsi" w:hAnsiTheme="majorHAnsi" w:eastAsiaTheme="majorEastAsia" w:cstheme="majorBidi"/>
      <w:b/>
      <w:bCs/>
      <w:sz w:val="32"/>
      <w:szCs w:val="32"/>
    </w:rPr>
  </w:style>
  <w:style w:type="character" w:customStyle="1" w:styleId="23">
    <w:name w:val="标题 3 字符"/>
    <w:basedOn w:val="14"/>
    <w:link w:val="4"/>
    <w:qFormat/>
    <w:uiPriority w:val="9"/>
    <w:rPr>
      <w:b/>
      <w:bCs/>
      <w:sz w:val="32"/>
      <w:szCs w:val="32"/>
    </w:rPr>
  </w:style>
  <w:style w:type="paragraph" w:customStyle="1" w:styleId="24">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宋体"/>
      <w:kern w:val="0"/>
      <w:sz w:val="21"/>
      <w:szCs w:val="21"/>
      <w:lang w:val="en-US" w:eastAsia="zh-CN" w:bidi="ar-SA"/>
    </w:rPr>
  </w:style>
  <w:style w:type="character" w:customStyle="1" w:styleId="25">
    <w:name w:val="段 Char"/>
    <w:basedOn w:val="14"/>
    <w:link w:val="24"/>
    <w:qFormat/>
    <w:locked/>
    <w:uiPriority w:val="0"/>
    <w:rPr>
      <w:rFonts w:ascii="宋体" w:hAnsi="Times New Roman" w:eastAsia="宋体" w:cs="宋体"/>
      <w:kern w:val="0"/>
      <w:szCs w:val="21"/>
    </w:rPr>
  </w:style>
  <w:style w:type="paragraph" w:customStyle="1" w:styleId="26">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7">
    <w:name w:val="批注框文本 字符"/>
    <w:basedOn w:val="14"/>
    <w:link w:val="7"/>
    <w:semiHidden/>
    <w:qFormat/>
    <w:uiPriority w:val="99"/>
    <w:rPr>
      <w:sz w:val="18"/>
      <w:szCs w:val="18"/>
    </w:rPr>
  </w:style>
  <w:style w:type="character" w:customStyle="1" w:styleId="28">
    <w:name w:val="脚注文本 字符"/>
    <w:basedOn w:val="14"/>
    <w:link w:val="10"/>
    <w:semiHidden/>
    <w:qFormat/>
    <w:uiPriority w:val="99"/>
    <w:rPr>
      <w:sz w:val="18"/>
      <w:szCs w:val="18"/>
    </w:rPr>
  </w:style>
  <w:style w:type="character" w:customStyle="1" w:styleId="29">
    <w:name w:val="批注文字 字符"/>
    <w:basedOn w:val="14"/>
    <w:link w:val="5"/>
    <w:semiHidden/>
    <w:qFormat/>
    <w:uiPriority w:val="99"/>
  </w:style>
  <w:style w:type="character" w:customStyle="1" w:styleId="30">
    <w:name w:val="标题 字符"/>
    <w:basedOn w:val="14"/>
    <w:link w:val="11"/>
    <w:qFormat/>
    <w:uiPriority w:val="10"/>
    <w:rPr>
      <w:rFonts w:eastAsia="宋体" w:asciiTheme="majorHAnsi" w:hAnsiTheme="majorHAnsi" w:cstheme="majorBidi"/>
      <w:b/>
      <w:bCs/>
      <w:sz w:val="32"/>
      <w:szCs w:val="32"/>
    </w:rPr>
  </w:style>
  <w:style w:type="character" w:customStyle="1" w:styleId="31">
    <w:name w:val="正文文本 字符"/>
    <w:basedOn w:val="14"/>
    <w:link w:val="6"/>
    <w:qFormat/>
    <w:uiPriority w:val="1"/>
    <w:rPr>
      <w:rFonts w:ascii="宋体" w:hAnsi="宋体" w:eastAsia="宋体" w:cs="宋体"/>
      <w:kern w:val="0"/>
      <w:sz w:val="32"/>
      <w:szCs w:val="3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7</Pages>
  <Words>523</Words>
  <Characters>2983</Characters>
  <Lines>24</Lines>
  <Paragraphs>6</Paragraphs>
  <TotalTime>1</TotalTime>
  <ScaleCrop>false</ScaleCrop>
  <LinksUpToDate>false</LinksUpToDate>
  <CharactersWithSpaces>3500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2014-02-18T02:12:00Z</dcterms:created>
  <dc:creator>deeplm</dc:creator>
  <cp:lastModifiedBy>ranyang</cp:lastModifiedBy>
  <cp:lastPrinted>2014-03-17T03:12:00Z</cp:lastPrinted>
  <dcterms:modified xsi:type="dcterms:W3CDTF">2025-04-11T08:10:37Z</dcterms:modified>
  <dc:title>认可程序说明和背景介绍</dc:title>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7942BFEB4A484A58ABD0DE61428107BF</vt:lpwstr>
  </property>
</Properties>
</file>